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F89" w:rsidRDefault="00FD30A6">
      <w:r>
        <w:rPr>
          <w:noProof/>
          <w:lang w:eastAsia="es-CO"/>
        </w:rPr>
        <mc:AlternateContent>
          <mc:Choice Requires="wps">
            <w:drawing>
              <wp:anchor distT="45720" distB="45720" distL="114300" distR="114300" simplePos="0" relativeHeight="251661312" behindDoc="0" locked="0" layoutInCell="1" allowOverlap="1" wp14:anchorId="0C82949D" wp14:editId="088BF36D">
                <wp:simplePos x="0" y="0"/>
                <wp:positionH relativeFrom="page">
                  <wp:align>center</wp:align>
                </wp:positionH>
                <wp:positionV relativeFrom="paragraph">
                  <wp:posOffset>114935</wp:posOffset>
                </wp:positionV>
                <wp:extent cx="4505325" cy="14046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rsidR="003A7F89" w:rsidRPr="00FD30A6" w:rsidRDefault="003A7F89" w:rsidP="003A7F89">
                            <w:pPr>
                              <w:spacing w:after="0"/>
                              <w:jc w:val="center"/>
                              <w:rPr>
                                <w:rFonts w:ascii="Arial" w:hAnsi="Arial" w:cs="Arial"/>
                                <w:b/>
                                <w:szCs w:val="18"/>
                                <w:lang w:val="es-MX"/>
                              </w:rPr>
                            </w:pPr>
                            <w:r w:rsidRPr="00FD30A6">
                              <w:rPr>
                                <w:rFonts w:ascii="Arial" w:hAnsi="Arial" w:cs="Arial"/>
                                <w:b/>
                                <w:szCs w:val="18"/>
                                <w:lang w:val="es-MX"/>
                              </w:rPr>
                              <w:t>CONTINÚA APRENDIENDO CON LA OCI</w:t>
                            </w:r>
                          </w:p>
                          <w:p w:rsidR="003A7F89" w:rsidRPr="00FD30A6" w:rsidRDefault="003A7F89" w:rsidP="003A7F89">
                            <w:pPr>
                              <w:spacing w:after="0"/>
                              <w:jc w:val="center"/>
                              <w:rPr>
                                <w:rFonts w:ascii="Arial" w:hAnsi="Arial" w:cs="Arial"/>
                                <w:b/>
                                <w:szCs w:val="18"/>
                                <w:lang w:val="es-MX"/>
                              </w:rPr>
                            </w:pPr>
                            <w:r w:rsidRPr="00FD30A6">
                              <w:rPr>
                                <w:rFonts w:ascii="Arial" w:hAnsi="Arial" w:cs="Arial"/>
                                <w:b/>
                                <w:szCs w:val="18"/>
                                <w:lang w:val="es-MX"/>
                              </w:rPr>
                              <w:t>CRUCIGRAMA COMPONENTES DE CONTROL INTERNO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82949D" id="_x0000_t202" coordsize="21600,21600" o:spt="202" path="m,l,21600r21600,l21600,xe">
                <v:stroke joinstyle="miter"/>
                <v:path gradientshapeok="t" o:connecttype="rect"/>
              </v:shapetype>
              <v:shape id="Cuadro de texto 2" o:spid="_x0000_s1026" type="#_x0000_t202" style="position:absolute;margin-left:0;margin-top:9.05pt;width:354.75pt;height:110.6pt;z-index:2516613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" stroked="f">
                <v:textbox style="mso-fit-shape-to-text:t">
                  <w:txbxContent>
                    <w:p w:rsidR="003A7F89" w:rsidRPr="00FD30A6" w:rsidRDefault="003A7F89" w:rsidP="003A7F89">
                      <w:pPr>
                        <w:spacing w:after="0"/>
                        <w:jc w:val="center"/>
                        <w:rPr>
                          <w:rFonts w:ascii="Arial" w:hAnsi="Arial" w:cs="Arial"/>
                          <w:b/>
                          <w:szCs w:val="18"/>
                          <w:lang w:val="es-MX"/>
                        </w:rPr>
                      </w:pPr>
                      <w:r w:rsidRPr="00FD30A6">
                        <w:rPr>
                          <w:rFonts w:ascii="Arial" w:hAnsi="Arial" w:cs="Arial"/>
                          <w:b/>
                          <w:szCs w:val="18"/>
                          <w:lang w:val="es-MX"/>
                        </w:rPr>
                        <w:t>CONTINÚA APRENDIENDO CON LA OCI</w:t>
                      </w:r>
                    </w:p>
                    <w:p w:rsidR="003A7F89" w:rsidRPr="00FD30A6" w:rsidRDefault="003A7F89" w:rsidP="003A7F89">
                      <w:pPr>
                        <w:spacing w:after="0"/>
                        <w:jc w:val="center"/>
                        <w:rPr>
                          <w:rFonts w:ascii="Arial" w:hAnsi="Arial" w:cs="Arial"/>
                          <w:b/>
                          <w:szCs w:val="18"/>
                          <w:lang w:val="es-MX"/>
                        </w:rPr>
                      </w:pPr>
                      <w:r w:rsidRPr="00FD30A6">
                        <w:rPr>
                          <w:rFonts w:ascii="Arial" w:hAnsi="Arial" w:cs="Arial"/>
                          <w:b/>
                          <w:szCs w:val="18"/>
                          <w:lang w:val="es-MX"/>
                        </w:rPr>
                        <w:t>CRUCIGRAMA COMPONENTES DE CONTROL INTERNO</w:t>
                      </w:r>
                    </w:p>
                  </w:txbxContent>
                </v:textbox>
                <w10:wrap type="square" anchorx="page"/>
              </v:shape>
            </w:pict>
          </mc:Fallback>
        </mc:AlternateContent>
      </w:r>
    </w:p>
    <w:p w:rsidR="00442C79" w:rsidRDefault="00442C79" w:rsidP="00442C79">
      <w:pPr>
        <w:ind w:left="1416"/>
      </w:pPr>
    </w:p>
    <w:p w:rsidR="00442C79" w:rsidRDefault="00442C79" w:rsidP="00442C79">
      <w:pPr>
        <w:ind w:left="1416"/>
      </w:pPr>
    </w:p>
    <w:p w:rsidR="00442C79" w:rsidRDefault="00442C79" w:rsidP="00442C79">
      <w:pPr>
        <w:ind w:left="1416"/>
      </w:pPr>
      <w:r>
        <w:rPr>
          <w:noProof/>
          <w:lang w:eastAsia="es-CO"/>
        </w:rPr>
        <mc:AlternateContent>
          <mc:Choice Requires="wps">
            <w:drawing>
              <wp:anchor distT="45720" distB="45720" distL="114300" distR="114300" simplePos="0" relativeHeight="251665408" behindDoc="0" locked="0" layoutInCell="1" allowOverlap="1" wp14:anchorId="0B1F7E91" wp14:editId="52472624">
                <wp:simplePos x="0" y="0"/>
                <wp:positionH relativeFrom="margin">
                  <wp:posOffset>6179185</wp:posOffset>
                </wp:positionH>
                <wp:positionV relativeFrom="paragraph">
                  <wp:posOffset>10160</wp:posOffset>
                </wp:positionV>
                <wp:extent cx="3019425" cy="2276475"/>
                <wp:effectExtent l="0" t="0" r="9525"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76475"/>
                        </a:xfrm>
                        <a:prstGeom prst="rect">
                          <a:avLst/>
                        </a:prstGeom>
                        <a:solidFill>
                          <a:srgbClr val="FFFFFF"/>
                        </a:solidFill>
                        <a:ln w="9525">
                          <a:noFill/>
                          <a:miter lim="800000"/>
                          <a:headEnd/>
                          <a:tailEnd/>
                        </a:ln>
                      </wps:spPr>
                      <wps:txbx>
                        <w:txbxContent>
                          <w:p w:rsidR="003A7F89" w:rsidRPr="00442C79" w:rsidRDefault="003A7F89" w:rsidP="003A7F89">
                            <w:pPr>
                              <w:rPr>
                                <w:rFonts w:ascii="Arial" w:hAnsi="Arial" w:cs="Arial"/>
                                <w:b/>
                                <w:sz w:val="18"/>
                                <w:szCs w:val="20"/>
                              </w:rPr>
                            </w:pPr>
                            <w:r w:rsidRPr="00442C79">
                              <w:rPr>
                                <w:rFonts w:ascii="Arial" w:hAnsi="Arial" w:cs="Arial"/>
                                <w:b/>
                                <w:sz w:val="18"/>
                                <w:szCs w:val="20"/>
                              </w:rPr>
                              <w:t>Horizontal</w:t>
                            </w:r>
                          </w:p>
                          <w:p w:rsidR="003A7F89" w:rsidRPr="00442C79" w:rsidRDefault="003A7F89" w:rsidP="003A7F89">
                            <w:pPr>
                              <w:pStyle w:val="ListParagraph"/>
                              <w:numPr>
                                <w:ilvl w:val="0"/>
                                <w:numId w:val="1"/>
                              </w:numPr>
                              <w:jc w:val="both"/>
                              <w:rPr>
                                <w:rFonts w:ascii="Arial" w:hAnsi="Arial" w:cs="Arial"/>
                                <w:b/>
                                <w:sz w:val="18"/>
                                <w:szCs w:val="20"/>
                              </w:rPr>
                            </w:pPr>
                            <w:r w:rsidRPr="00442C79">
                              <w:rPr>
                                <w:rFonts w:ascii="Arial" w:hAnsi="Arial" w:cs="Arial"/>
                                <w:sz w:val="18"/>
                                <w:szCs w:val="20"/>
                              </w:rPr>
                              <w:t>La información sirve como base para conocer el estado de los controles, así, como para conocer el avance de la gestión de la entidad. La comunicación permite que los servidores públicos comprendan sus roles y responsabilidades, y sirve como medio para la rendición de cuentas.</w:t>
                            </w:r>
                          </w:p>
                          <w:p w:rsidR="003A7F89" w:rsidRPr="00442C79" w:rsidRDefault="003A7F89" w:rsidP="003A7F89">
                            <w:pPr>
                              <w:pStyle w:val="ListParagraph"/>
                              <w:numPr>
                                <w:ilvl w:val="0"/>
                                <w:numId w:val="2"/>
                              </w:numPr>
                              <w:jc w:val="both"/>
                              <w:rPr>
                                <w:rFonts w:ascii="Arial" w:hAnsi="Arial" w:cs="Arial"/>
                                <w:b/>
                                <w:sz w:val="18"/>
                                <w:szCs w:val="20"/>
                              </w:rPr>
                            </w:pPr>
                            <w:r w:rsidRPr="00442C79">
                              <w:rPr>
                                <w:rFonts w:ascii="Arial" w:hAnsi="Arial" w:cs="Arial"/>
                                <w:sz w:val="18"/>
                                <w:szCs w:val="20"/>
                              </w:rPr>
                              <w:t>Proceso dinámico e interactivo que le permite a la entidad identificar, evaluar y gestionar aquellos eventos, tanto internos como externos, que puedan afectar o impedir el logro de sus objetivos institucionales.</w:t>
                            </w:r>
                          </w:p>
                          <w:p w:rsidR="003A7F89" w:rsidRPr="00442C79" w:rsidRDefault="003A7F89" w:rsidP="003A7F89">
                            <w:pPr>
                              <w:pStyle w:val="ListParagraph"/>
                              <w:numPr>
                                <w:ilvl w:val="0"/>
                                <w:numId w:val="3"/>
                              </w:numPr>
                              <w:rPr>
                                <w:rFonts w:ascii="Arial" w:hAnsi="Arial" w:cs="Arial"/>
                                <w:b/>
                                <w:sz w:val="18"/>
                                <w:szCs w:val="20"/>
                              </w:rPr>
                            </w:pPr>
                            <w:r w:rsidRPr="00442C79">
                              <w:rPr>
                                <w:rFonts w:ascii="Arial" w:hAnsi="Arial" w:cs="Arial"/>
                                <w:sz w:val="18"/>
                                <w:szCs w:val="20"/>
                              </w:rPr>
                              <w:t>Conjunto de directrices y condiciones mínimas que brinda la alta dirección de las organizaciones con el fin de implementar y fortalecer su Sistema de Control Interno</w:t>
                            </w:r>
                            <w:r w:rsidRPr="00442C79">
                              <w:rPr>
                                <w:rFonts w:ascii="Arial" w:hAnsi="Arial" w:cs="Arial"/>
                                <w:b/>
                                <w:sz w:val="18"/>
                                <w:szCs w:val="20"/>
                              </w:rPr>
                              <w:t>.</w:t>
                            </w:r>
                          </w:p>
                          <w:p w:rsidR="003A7F89" w:rsidRPr="00164435" w:rsidRDefault="003A7F89" w:rsidP="003A7F89">
                            <w:pPr>
                              <w:pStyle w:val="ListParagrap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F7E91" id="_x0000_s1027" type="#_x0000_t202" style="position:absolute;left:0;text-align:left;margin-left:486.55pt;margin-top:.8pt;width:237.75pt;height:17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" stroked="f">
                <v:textbox>
                  <w:txbxContent>
                    <w:p w:rsidR="003A7F89" w:rsidRPr="00442C79" w:rsidRDefault="003A7F89" w:rsidP="003A7F89">
                      <w:pPr>
                        <w:rPr>
                          <w:rFonts w:ascii="Arial" w:hAnsi="Arial" w:cs="Arial"/>
                          <w:b/>
                          <w:sz w:val="18"/>
                          <w:szCs w:val="20"/>
                        </w:rPr>
                      </w:pPr>
                      <w:r w:rsidRPr="00442C79">
                        <w:rPr>
                          <w:rFonts w:ascii="Arial" w:hAnsi="Arial" w:cs="Arial"/>
                          <w:b/>
                          <w:sz w:val="18"/>
                          <w:szCs w:val="20"/>
                        </w:rPr>
                        <w:t>Horizontal</w:t>
                      </w:r>
                    </w:p>
                    <w:p w:rsidR="003A7F89" w:rsidRPr="00442C79" w:rsidRDefault="003A7F89" w:rsidP="003A7F89">
                      <w:pPr>
                        <w:pStyle w:val="Prrafodelista"/>
                        <w:numPr>
                          <w:ilvl w:val="0"/>
                          <w:numId w:val="1"/>
                        </w:numPr>
                        <w:jc w:val="both"/>
                        <w:rPr>
                          <w:rFonts w:ascii="Arial" w:hAnsi="Arial" w:cs="Arial"/>
                          <w:b/>
                          <w:sz w:val="18"/>
                          <w:szCs w:val="20"/>
                        </w:rPr>
                      </w:pPr>
                      <w:r w:rsidRPr="00442C79">
                        <w:rPr>
                          <w:rFonts w:ascii="Arial" w:hAnsi="Arial" w:cs="Arial"/>
                          <w:sz w:val="18"/>
                          <w:szCs w:val="20"/>
                        </w:rPr>
                        <w:t>La información sirve como base para conocer el estado de los controles, así, como para conocer el avance de la gestión de la entidad. La comunicación permite que los servidores públicos comprendan sus roles y responsabilidades, y sirve como medio para la rendición de cuentas.</w:t>
                      </w:r>
                    </w:p>
                    <w:p w:rsidR="003A7F89" w:rsidRPr="00442C79" w:rsidRDefault="003A7F89" w:rsidP="003A7F89">
                      <w:pPr>
                        <w:pStyle w:val="Prrafodelista"/>
                        <w:numPr>
                          <w:ilvl w:val="0"/>
                          <w:numId w:val="2"/>
                        </w:numPr>
                        <w:jc w:val="both"/>
                        <w:rPr>
                          <w:rFonts w:ascii="Arial" w:hAnsi="Arial" w:cs="Arial"/>
                          <w:b/>
                          <w:sz w:val="18"/>
                          <w:szCs w:val="20"/>
                        </w:rPr>
                      </w:pPr>
                      <w:r w:rsidRPr="00442C79">
                        <w:rPr>
                          <w:rFonts w:ascii="Arial" w:hAnsi="Arial" w:cs="Arial"/>
                          <w:sz w:val="18"/>
                          <w:szCs w:val="20"/>
                        </w:rPr>
                        <w:t>Proceso dinámico e interactivo que le permite a la entidad identificar, evaluar y gestionar aquellos eventos, tanto internos como externos, que puedan afectar o impedir el logro de sus objetivos institucionales.</w:t>
                      </w:r>
                    </w:p>
                    <w:p w:rsidR="003A7F89" w:rsidRPr="00442C79" w:rsidRDefault="003A7F89" w:rsidP="003A7F89">
                      <w:pPr>
                        <w:pStyle w:val="Prrafodelista"/>
                        <w:numPr>
                          <w:ilvl w:val="0"/>
                          <w:numId w:val="3"/>
                        </w:numPr>
                        <w:rPr>
                          <w:rFonts w:ascii="Arial" w:hAnsi="Arial" w:cs="Arial"/>
                          <w:b/>
                          <w:sz w:val="18"/>
                          <w:szCs w:val="20"/>
                        </w:rPr>
                      </w:pPr>
                      <w:r w:rsidRPr="00442C79">
                        <w:rPr>
                          <w:rFonts w:ascii="Arial" w:hAnsi="Arial" w:cs="Arial"/>
                          <w:sz w:val="18"/>
                          <w:szCs w:val="20"/>
                        </w:rPr>
                        <w:t>Conjunto de directrices y condiciones mínimas que brinda la alta dirección de las organizaciones con el fin de implementar y fortalecer su Sistema de Control Interno</w:t>
                      </w:r>
                      <w:r w:rsidRPr="00442C79">
                        <w:rPr>
                          <w:rFonts w:ascii="Arial" w:hAnsi="Arial" w:cs="Arial"/>
                          <w:b/>
                          <w:sz w:val="18"/>
                          <w:szCs w:val="20"/>
                        </w:rPr>
                        <w:t>.</w:t>
                      </w:r>
                    </w:p>
                    <w:p w:rsidR="003A7F89" w:rsidRPr="00164435" w:rsidRDefault="003A7F89" w:rsidP="003A7F89">
                      <w:pPr>
                        <w:pStyle w:val="Prrafodelista"/>
                        <w:rPr>
                          <w:b/>
                        </w:rPr>
                      </w:pPr>
                    </w:p>
                  </w:txbxContent>
                </v:textbox>
                <w10:wrap type="square" anchorx="margin"/>
              </v:shape>
            </w:pict>
          </mc:Fallback>
        </mc:AlternateContent>
      </w:r>
    </w:p>
    <w:p w:rsidR="003A7F89" w:rsidRDefault="003A7F89" w:rsidP="00442C79">
      <w:pPr>
        <w:ind w:left="1416"/>
      </w:pPr>
      <w:r>
        <w:rPr>
          <w:noProof/>
          <w:lang w:eastAsia="es-CO"/>
        </w:rPr>
        <mc:AlternateContent>
          <mc:Choice Requires="wps">
            <w:drawing>
              <wp:anchor distT="45720" distB="45720" distL="114300" distR="114300" simplePos="0" relativeHeight="251667456" behindDoc="0" locked="0" layoutInCell="1" allowOverlap="1" wp14:anchorId="4A155B19" wp14:editId="3054AF6A">
                <wp:simplePos x="0" y="0"/>
                <wp:positionH relativeFrom="margin">
                  <wp:posOffset>6217285</wp:posOffset>
                </wp:positionH>
                <wp:positionV relativeFrom="paragraph">
                  <wp:posOffset>2181860</wp:posOffset>
                </wp:positionV>
                <wp:extent cx="3038475" cy="1590675"/>
                <wp:effectExtent l="0" t="0" r="9525"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90675"/>
                        </a:xfrm>
                        <a:prstGeom prst="rect">
                          <a:avLst/>
                        </a:prstGeom>
                        <a:solidFill>
                          <a:srgbClr val="FFFFFF"/>
                        </a:solidFill>
                        <a:ln w="9525">
                          <a:noFill/>
                          <a:miter lim="800000"/>
                          <a:headEnd/>
                          <a:tailEnd/>
                        </a:ln>
                      </wps:spPr>
                      <wps:txbx>
                        <w:txbxContent>
                          <w:p w:rsidR="003A7F89" w:rsidRPr="00442C79" w:rsidRDefault="003A7F89" w:rsidP="003A7F89">
                            <w:pPr>
                              <w:rPr>
                                <w:rFonts w:ascii="Arial" w:hAnsi="Arial" w:cs="Arial"/>
                                <w:b/>
                                <w:sz w:val="18"/>
                                <w:szCs w:val="18"/>
                              </w:rPr>
                            </w:pPr>
                            <w:r w:rsidRPr="00442C79">
                              <w:rPr>
                                <w:rFonts w:ascii="Arial" w:hAnsi="Arial" w:cs="Arial"/>
                                <w:b/>
                                <w:sz w:val="18"/>
                                <w:szCs w:val="18"/>
                              </w:rPr>
                              <w:t>Vertical</w:t>
                            </w:r>
                          </w:p>
                          <w:p w:rsidR="003A7F89" w:rsidRPr="00442C79" w:rsidRDefault="003A7F89" w:rsidP="003A7F89">
                            <w:pPr>
                              <w:pStyle w:val="ListParagraph"/>
                              <w:numPr>
                                <w:ilvl w:val="0"/>
                                <w:numId w:val="4"/>
                              </w:numPr>
                              <w:jc w:val="both"/>
                              <w:rPr>
                                <w:rFonts w:ascii="Arial" w:hAnsi="Arial" w:cs="Arial"/>
                                <w:sz w:val="18"/>
                                <w:szCs w:val="18"/>
                              </w:rPr>
                            </w:pPr>
                            <w:r w:rsidRPr="00442C79">
                              <w:rPr>
                                <w:rFonts w:ascii="Arial" w:hAnsi="Arial" w:cs="Arial"/>
                                <w:sz w:val="18"/>
                                <w:szCs w:val="18"/>
                              </w:rPr>
                              <w:t>Acciones determinadas por la Entidad generalmente expresadas a través de políticas de operación, procesos y procedimientos, que contribuyen al desarrollo de las directrices impartidas por la alta dirección frente al logro de los objetivos.</w:t>
                            </w:r>
                          </w:p>
                          <w:p w:rsidR="003A7F89" w:rsidRPr="00442C79" w:rsidRDefault="003A7F89" w:rsidP="003A7F89">
                            <w:pPr>
                              <w:pStyle w:val="ListParagraph"/>
                              <w:numPr>
                                <w:ilvl w:val="0"/>
                                <w:numId w:val="5"/>
                              </w:numPr>
                              <w:jc w:val="both"/>
                              <w:rPr>
                                <w:rFonts w:ascii="Arial" w:hAnsi="Arial" w:cs="Arial"/>
                                <w:sz w:val="18"/>
                                <w:szCs w:val="18"/>
                              </w:rPr>
                            </w:pPr>
                            <w:r w:rsidRPr="00442C79">
                              <w:rPr>
                                <w:rFonts w:ascii="Arial" w:hAnsi="Arial" w:cs="Arial"/>
                                <w:sz w:val="18"/>
                                <w:szCs w:val="18"/>
                              </w:rPr>
                              <w:t>Busca que la Entidad haga seguimiento oportuno al estado de la gestión de los riesgos y controles, esto se puede llevar a cabo a partir de dos tipos de evaluación: concurrente o autoevaluación y evaluación independiente.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55B19" id="_x0000_s1028" type="#_x0000_t202" style="position:absolute;left:0;text-align:left;margin-left:489.55pt;margin-top:171.8pt;width:239.25pt;height:12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" stroked="f">
                <v:textbox>
                  <w:txbxContent>
                    <w:p w:rsidR="003A7F89" w:rsidRPr="00442C79" w:rsidRDefault="003A7F89" w:rsidP="003A7F89">
                      <w:pPr>
                        <w:rPr>
                          <w:rFonts w:ascii="Arial" w:hAnsi="Arial" w:cs="Arial"/>
                          <w:b/>
                          <w:sz w:val="18"/>
                          <w:szCs w:val="18"/>
                        </w:rPr>
                      </w:pPr>
                      <w:r w:rsidRPr="00442C79">
                        <w:rPr>
                          <w:rFonts w:ascii="Arial" w:hAnsi="Arial" w:cs="Arial"/>
                          <w:b/>
                          <w:sz w:val="18"/>
                          <w:szCs w:val="18"/>
                        </w:rPr>
                        <w:t>Vertical</w:t>
                      </w:r>
                    </w:p>
                    <w:p w:rsidR="003A7F89" w:rsidRPr="00442C79" w:rsidRDefault="003A7F89" w:rsidP="003A7F89">
                      <w:pPr>
                        <w:pStyle w:val="Prrafodelista"/>
                        <w:numPr>
                          <w:ilvl w:val="0"/>
                          <w:numId w:val="4"/>
                        </w:numPr>
                        <w:jc w:val="both"/>
                        <w:rPr>
                          <w:rFonts w:ascii="Arial" w:hAnsi="Arial" w:cs="Arial"/>
                          <w:sz w:val="18"/>
                          <w:szCs w:val="18"/>
                        </w:rPr>
                      </w:pPr>
                      <w:r w:rsidRPr="00442C79">
                        <w:rPr>
                          <w:rFonts w:ascii="Arial" w:hAnsi="Arial" w:cs="Arial"/>
                          <w:sz w:val="18"/>
                          <w:szCs w:val="18"/>
                        </w:rPr>
                        <w:t>Acciones determinadas por la Entidad generalmente expresadas a través de políticas de operación, procesos y procedimientos, que contribuyen al desarrollo de las directrices impartidas por la alta dirección frente al logro de los objetivos.</w:t>
                      </w:r>
                    </w:p>
                    <w:p w:rsidR="003A7F89" w:rsidRPr="00442C79" w:rsidRDefault="003A7F89" w:rsidP="003A7F89">
                      <w:pPr>
                        <w:pStyle w:val="Prrafodelista"/>
                        <w:numPr>
                          <w:ilvl w:val="0"/>
                          <w:numId w:val="5"/>
                        </w:numPr>
                        <w:jc w:val="both"/>
                        <w:rPr>
                          <w:rFonts w:ascii="Arial" w:hAnsi="Arial" w:cs="Arial"/>
                          <w:sz w:val="18"/>
                          <w:szCs w:val="18"/>
                        </w:rPr>
                      </w:pPr>
                      <w:r w:rsidRPr="00442C79">
                        <w:rPr>
                          <w:rFonts w:ascii="Arial" w:hAnsi="Arial" w:cs="Arial"/>
                          <w:sz w:val="18"/>
                          <w:szCs w:val="18"/>
                        </w:rPr>
                        <w:t>Busca que la Entidad haga seguimiento oportuno al estado de la gestión de los riesgos y controles, esto se puede llevar a cabo a partir de dos tipos de evaluación: concurrente o autoevaluación y evaluación independiente.</w:t>
                      </w:r>
                    </w:p>
                  </w:txbxContent>
                </v:textbox>
                <w10:wrap type="square" anchorx="margin"/>
              </v:shape>
            </w:pict>
          </mc:Fallback>
        </mc:AlternateContent>
      </w:r>
      <w:r w:rsidR="00AD1D08" w:rsidRPr="00AD1D08">
        <w:t xml:space="preserve"> </w:t>
      </w:r>
      <w:r w:rsidR="00442C79">
        <w:rPr>
          <w:noProof/>
          <w:lang w:eastAsia="es-CO"/>
        </w:rPr>
        <w:t xml:space="preserve"> </w:t>
      </w:r>
      <w:r w:rsidR="00AD1D08" w:rsidRPr="00AD1D08">
        <w:rPr>
          <w:noProof/>
          <w:lang w:eastAsia="es-CO"/>
        </w:rPr>
        <w:drawing>
          <wp:inline distT="0" distB="0" distL="0" distR="0">
            <wp:extent cx="4400550" cy="38507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254" cy="3874991"/>
                    </a:xfrm>
                    <a:prstGeom prst="rect">
                      <a:avLst/>
                    </a:prstGeom>
                    <a:noFill/>
                    <a:ln>
                      <a:noFill/>
                    </a:ln>
                  </pic:spPr>
                </pic:pic>
              </a:graphicData>
            </a:graphic>
          </wp:inline>
        </w:drawing>
      </w:r>
    </w:p>
    <w:p w:rsidR="00442C79" w:rsidRDefault="00442C79"/>
    <w:p w:rsidR="00442C79" w:rsidRDefault="00442C79"/>
    <w:p w:rsidR="00AD2A81" w:rsidRDefault="00AD2A81"/>
    <w:p w:rsidR="00892396" w:rsidRPr="00442C79" w:rsidRDefault="00442C79" w:rsidP="00442C79">
      <w:pPr>
        <w:rPr>
          <w:rFonts w:ascii="Arial" w:hAnsi="Arial" w:cs="Arial"/>
          <w:b/>
          <w:sz w:val="24"/>
        </w:rPr>
      </w:pPr>
      <w:r>
        <w:tab/>
      </w:r>
      <w:r>
        <w:tab/>
      </w:r>
      <w:r w:rsidRPr="00442C79">
        <w:rPr>
          <w:rFonts w:ascii="Arial" w:hAnsi="Arial" w:cs="Arial"/>
          <w:b/>
          <w:sz w:val="24"/>
        </w:rPr>
        <w:t>Te invitamos a imprimir y resolver este crucigrama.</w:t>
      </w:r>
    </w:p>
    <w:p w:rsidR="00442C79" w:rsidRPr="00442C79" w:rsidRDefault="00442C79" w:rsidP="00442C79">
      <w:pPr>
        <w:rPr>
          <w:rFonts w:ascii="Arial" w:hAnsi="Arial" w:cs="Arial"/>
          <w:b/>
          <w:sz w:val="24"/>
        </w:rPr>
      </w:pPr>
      <w:r w:rsidRPr="00442C79">
        <w:rPr>
          <w:rFonts w:ascii="Arial" w:hAnsi="Arial" w:cs="Arial"/>
          <w:b/>
          <w:sz w:val="24"/>
        </w:rPr>
        <w:tab/>
      </w:r>
      <w:r>
        <w:rPr>
          <w:rFonts w:ascii="Arial" w:hAnsi="Arial" w:cs="Arial"/>
          <w:b/>
          <w:sz w:val="24"/>
        </w:rPr>
        <w:tab/>
      </w:r>
      <w:r w:rsidRPr="00442C79">
        <w:rPr>
          <w:rFonts w:ascii="Arial" w:hAnsi="Arial" w:cs="Arial"/>
          <w:b/>
          <w:sz w:val="24"/>
        </w:rPr>
        <w:t>¡Pon a prueba tus conocimientos!!!</w:t>
      </w:r>
    </w:p>
    <w:sectPr w:rsidR="00442C79" w:rsidRPr="00442C79" w:rsidSect="00442C79">
      <w:pgSz w:w="15840" w:h="12240" w:orient="landscape"/>
      <w:pgMar w:top="284" w:right="17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22F"/>
    <w:multiLevelType w:val="hybridMultilevel"/>
    <w:tmpl w:val="F95E1DBA"/>
    <w:lvl w:ilvl="0" w:tplc="240A000F">
      <w:start w:val="5"/>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0C74A9"/>
    <w:multiLevelType w:val="hybridMultilevel"/>
    <w:tmpl w:val="12825724"/>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5E1349"/>
    <w:multiLevelType w:val="hybridMultilevel"/>
    <w:tmpl w:val="0D78399E"/>
    <w:lvl w:ilvl="0" w:tplc="240A000F">
      <w:start w:val="2"/>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026654"/>
    <w:multiLevelType w:val="hybridMultilevel"/>
    <w:tmpl w:val="5D18D77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12142F0"/>
    <w:multiLevelType w:val="hybridMultilevel"/>
    <w:tmpl w:val="729EB76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91924FB"/>
    <w:multiLevelType w:val="hybridMultilevel"/>
    <w:tmpl w:val="CF6E47F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EA2911"/>
    <w:multiLevelType w:val="hybridMultilevel"/>
    <w:tmpl w:val="8E084548"/>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2B05EB"/>
    <w:multiLevelType w:val="hybridMultilevel"/>
    <w:tmpl w:val="3F90D14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00014A"/>
    <w:multiLevelType w:val="hybridMultilevel"/>
    <w:tmpl w:val="6D2A790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5236D3"/>
    <w:multiLevelType w:val="hybridMultilevel"/>
    <w:tmpl w:val="ADDA00FC"/>
    <w:lvl w:ilvl="0" w:tplc="240A000F">
      <w:start w:val="5"/>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89"/>
    <w:rsid w:val="00102180"/>
    <w:rsid w:val="0023765C"/>
    <w:rsid w:val="00291FE4"/>
    <w:rsid w:val="003028DD"/>
    <w:rsid w:val="003A7F89"/>
    <w:rsid w:val="00442C79"/>
    <w:rsid w:val="005064AD"/>
    <w:rsid w:val="0071107E"/>
    <w:rsid w:val="0078142D"/>
    <w:rsid w:val="007E2A74"/>
    <w:rsid w:val="00892396"/>
    <w:rsid w:val="00AD1D08"/>
    <w:rsid w:val="00AD2A81"/>
    <w:rsid w:val="00B01D7D"/>
    <w:rsid w:val="00BE7CC1"/>
    <w:rsid w:val="00FD3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54B7D-DB7B-42E6-9F53-FC41F2DD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244">
      <w:bodyDiv w:val="1"/>
      <w:marLeft w:val="0"/>
      <w:marRight w:val="0"/>
      <w:marTop w:val="0"/>
      <w:marBottom w:val="0"/>
      <w:divBdr>
        <w:top w:val="none" w:sz="0" w:space="0" w:color="auto"/>
        <w:left w:val="none" w:sz="0" w:space="0" w:color="auto"/>
        <w:bottom w:val="none" w:sz="0" w:space="0" w:color="auto"/>
        <w:right w:val="none" w:sz="0" w:space="0" w:color="auto"/>
      </w:divBdr>
    </w:div>
    <w:div w:id="65305681">
      <w:bodyDiv w:val="1"/>
      <w:marLeft w:val="0"/>
      <w:marRight w:val="0"/>
      <w:marTop w:val="0"/>
      <w:marBottom w:val="0"/>
      <w:divBdr>
        <w:top w:val="none" w:sz="0" w:space="0" w:color="auto"/>
        <w:left w:val="none" w:sz="0" w:space="0" w:color="auto"/>
        <w:bottom w:val="none" w:sz="0" w:space="0" w:color="auto"/>
        <w:right w:val="none" w:sz="0" w:space="0" w:color="auto"/>
      </w:divBdr>
    </w:div>
    <w:div w:id="789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MARCELA PINZON MARTINEZ</dc:creator>
  <cp:keywords/>
  <dc:description/>
  <cp:lastModifiedBy>Microsoft Office User</cp:lastModifiedBy>
  <cp:revision>2</cp:revision>
  <cp:lastPrinted>2019-03-27T21:19:00Z</cp:lastPrinted>
  <dcterms:created xsi:type="dcterms:W3CDTF">2020-06-26T17:10:00Z</dcterms:created>
  <dcterms:modified xsi:type="dcterms:W3CDTF">2020-06-26T17:10:00Z</dcterms:modified>
</cp:coreProperties>
</file>